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0E" w:rsidRDefault="0007360E" w:rsidP="005B55D2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:rsidR="0007360E" w:rsidRDefault="0007360E" w:rsidP="005B55D2">
      <w:pPr>
        <w:spacing w:after="240"/>
        <w:jc w:val="center"/>
      </w:pPr>
      <w:r>
        <w:t>über die</w:t>
      </w:r>
    </w:p>
    <w:p w:rsidR="0007360E" w:rsidRDefault="0007360E" w:rsidP="005B55D2">
      <w:pPr>
        <w:spacing w:after="240"/>
        <w:jc w:val="center"/>
      </w:pPr>
      <w:r>
        <w:t>Beschlüsse des Verwaltungsrates</w:t>
      </w:r>
    </w:p>
    <w:p w:rsidR="0007360E" w:rsidRDefault="0007360E" w:rsidP="005B55D2">
      <w:pPr>
        <w:spacing w:after="240"/>
        <w:jc w:val="center"/>
      </w:pPr>
      <w:r>
        <w:t>- Feststellungen über die ordentliche Kapitalerhöhung infolge Fusion -</w:t>
      </w:r>
    </w:p>
    <w:p w:rsidR="0007360E" w:rsidRDefault="0007360E" w:rsidP="005B55D2">
      <w:pPr>
        <w:spacing w:after="240"/>
        <w:jc w:val="center"/>
      </w:pPr>
      <w:r>
        <w:t>der</w:t>
      </w:r>
    </w:p>
    <w:p w:rsidR="00001D36" w:rsidRPr="005B55D2" w:rsidRDefault="00F21280" w:rsidP="00001D36">
      <w:pPr>
        <w:spacing w:before="600" w:after="240"/>
        <w:jc w:val="center"/>
        <w:rPr>
          <w:b/>
          <w:sz w:val="28"/>
          <w:szCs w:val="32"/>
        </w:rPr>
      </w:pPr>
      <w:r w:rsidRPr="005B55D2">
        <w:rPr>
          <w:b/>
          <w:sz w:val="28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01D36" w:rsidRPr="005B55D2">
        <w:rPr>
          <w:b/>
          <w:sz w:val="28"/>
          <w:szCs w:val="32"/>
        </w:rPr>
        <w:instrText xml:space="preserve"> FORMTEXT </w:instrText>
      </w:r>
      <w:r w:rsidRPr="005B55D2">
        <w:rPr>
          <w:b/>
          <w:sz w:val="28"/>
          <w:szCs w:val="32"/>
        </w:rPr>
      </w:r>
      <w:r w:rsidRPr="005B55D2">
        <w:rPr>
          <w:b/>
          <w:sz w:val="28"/>
          <w:szCs w:val="32"/>
        </w:rPr>
        <w:fldChar w:fldCharType="separate"/>
      </w:r>
      <w:r w:rsidR="00001D36" w:rsidRPr="005B55D2">
        <w:rPr>
          <w:b/>
          <w:sz w:val="28"/>
          <w:szCs w:val="32"/>
        </w:rPr>
        <w:t> </w:t>
      </w:r>
      <w:r w:rsidR="00001D36" w:rsidRPr="005B55D2">
        <w:rPr>
          <w:b/>
          <w:sz w:val="28"/>
          <w:szCs w:val="32"/>
        </w:rPr>
        <w:t> </w:t>
      </w:r>
      <w:r w:rsidR="00001D36" w:rsidRPr="005B55D2">
        <w:rPr>
          <w:b/>
          <w:sz w:val="28"/>
          <w:szCs w:val="32"/>
        </w:rPr>
        <w:t> </w:t>
      </w:r>
      <w:r w:rsidR="00001D36" w:rsidRPr="005B55D2">
        <w:rPr>
          <w:b/>
          <w:sz w:val="28"/>
          <w:szCs w:val="32"/>
        </w:rPr>
        <w:t> </w:t>
      </w:r>
      <w:r w:rsidR="00001D36" w:rsidRPr="005B55D2">
        <w:rPr>
          <w:b/>
          <w:sz w:val="28"/>
          <w:szCs w:val="32"/>
        </w:rPr>
        <w:t> </w:t>
      </w:r>
      <w:r w:rsidRPr="005B55D2">
        <w:rPr>
          <w:b/>
          <w:sz w:val="28"/>
          <w:szCs w:val="32"/>
        </w:rPr>
        <w:fldChar w:fldCharType="end"/>
      </w:r>
    </w:p>
    <w:p w:rsidR="005B55D2" w:rsidRDefault="005B55D2" w:rsidP="005B55D2">
      <w:pPr>
        <w:spacing w:after="240"/>
        <w:jc w:val="center"/>
      </w:pPr>
      <w:r>
        <w:t xml:space="preserve">(UID: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)</w:t>
      </w:r>
    </w:p>
    <w:p w:rsidR="00001D36" w:rsidRDefault="00001D36" w:rsidP="00001D36">
      <w:pPr>
        <w:spacing w:after="1200"/>
        <w:jc w:val="center"/>
        <w:rPr>
          <w:szCs w:val="22"/>
        </w:rPr>
      </w:pPr>
      <w:r>
        <w:t xml:space="preserve">mit Sitz in </w:t>
      </w:r>
      <w:r w:rsidR="00F21280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F2128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21280">
        <w:fldChar w:fldCharType="end"/>
      </w:r>
    </w:p>
    <w:p w:rsidR="007649D0" w:rsidRDefault="0007360E" w:rsidP="00D43335">
      <w:pPr>
        <w:pStyle w:val="BlockArial"/>
      </w:pPr>
      <w:r>
        <w:t xml:space="preserve">Im Amtslokal des Notariates </w:t>
      </w:r>
      <w:r w:rsidR="00F21280">
        <w:fldChar w:fldCharType="begin">
          <w:ffData>
            <w:name w:val="Text4"/>
            <w:enabled/>
            <w:calcOnExit w:val="0"/>
            <w:textInput/>
          </w:ffData>
        </w:fldChar>
      </w:r>
      <w:r w:rsidR="00001D36">
        <w:instrText xml:space="preserve"> FORMTEXT </w:instrText>
      </w:r>
      <w:r w:rsidR="00F21280">
        <w:fldChar w:fldCharType="separate"/>
      </w:r>
      <w:r w:rsidR="00001D36">
        <w:rPr>
          <w:noProof/>
        </w:rPr>
        <w:t> </w:t>
      </w:r>
      <w:r w:rsidR="00001D36">
        <w:rPr>
          <w:noProof/>
        </w:rPr>
        <w:t> </w:t>
      </w:r>
      <w:r w:rsidR="00001D36">
        <w:rPr>
          <w:noProof/>
        </w:rPr>
        <w:t> </w:t>
      </w:r>
      <w:r w:rsidR="00001D36">
        <w:rPr>
          <w:noProof/>
        </w:rPr>
        <w:t> </w:t>
      </w:r>
      <w:r w:rsidR="00001D36">
        <w:rPr>
          <w:noProof/>
        </w:rPr>
        <w:t> </w:t>
      </w:r>
      <w:r w:rsidR="00F21280">
        <w:fldChar w:fldCharType="end"/>
      </w:r>
      <w:r>
        <w:t xml:space="preserve"> hat </w:t>
      </w:r>
      <w:r w:rsidR="00256635">
        <w:t>heute</w:t>
      </w:r>
      <w:r>
        <w:t xml:space="preserve"> eine Verwaltungsratssitzung der oben erwähn</w:t>
      </w:r>
      <w:r w:rsidR="00256635">
        <w:t xml:space="preserve">ten Gesellschaft stattgefunden. </w:t>
      </w:r>
      <w:r>
        <w:t>Über deren Beschlüsse errichtet die unterzeichnende Urkundsperson nach den Bestimmungen des Schweize</w:t>
      </w:r>
      <w:r w:rsidR="005B55D2">
        <w:t>rischen Obligationenrecht</w:t>
      </w:r>
      <w:r w:rsidR="00975949">
        <w:t>e</w:t>
      </w:r>
      <w:r w:rsidR="005B55D2">
        <w:t>s (OR)</w:t>
      </w:r>
      <w:r>
        <w:t xml:space="preserve"> in Verbindung mit dem Fusionsgesetz (F</w:t>
      </w:r>
      <w:r w:rsidR="005B55D2">
        <w:t>usG)</w:t>
      </w:r>
      <w:r>
        <w:t xml:space="preserve"> diese öffentliche Urkunde.</w:t>
      </w:r>
    </w:p>
    <w:p w:rsidR="007649D0" w:rsidRDefault="007649D0">
      <w:r>
        <w:br w:type="page"/>
      </w:r>
    </w:p>
    <w:p w:rsidR="0007360E" w:rsidRDefault="0007360E" w:rsidP="007649D0">
      <w:pPr>
        <w:spacing w:before="1200" w:after="480"/>
        <w:jc w:val="center"/>
      </w:pPr>
      <w:r>
        <w:lastRenderedPageBreak/>
        <w:t>I.</w:t>
      </w:r>
    </w:p>
    <w:p w:rsidR="0007360E" w:rsidRDefault="001D7435" w:rsidP="001D7435">
      <w:pPr>
        <w:spacing w:after="480"/>
        <w:jc w:val="bot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7360E">
        <w:t xml:space="preserve"> eröffnet die Sitzung und übernimmt den Vorsitz. Als </w:t>
      </w:r>
      <w:r w:rsidR="00BD7D74">
        <w:t xml:space="preserve">Protokollführer </w:t>
      </w:r>
      <w:r w:rsidR="0007360E">
        <w:t xml:space="preserve">amtet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7360E">
        <w:t>.</w:t>
      </w:r>
    </w:p>
    <w:p w:rsidR="0007360E" w:rsidRDefault="0007360E" w:rsidP="001D7435">
      <w:pPr>
        <w:spacing w:after="240"/>
        <w:jc w:val="both"/>
      </w:pPr>
      <w:r>
        <w:t>Der Vorsitzende stellt fest:</w:t>
      </w:r>
    </w:p>
    <w:p w:rsidR="0007360E" w:rsidRDefault="0007360E" w:rsidP="001D7435">
      <w:pPr>
        <w:widowControl w:val="0"/>
        <w:numPr>
          <w:ilvl w:val="0"/>
          <w:numId w:val="17"/>
        </w:numPr>
        <w:autoSpaceDE w:val="0"/>
        <w:autoSpaceDN w:val="0"/>
        <w:spacing w:after="240"/>
        <w:ind w:left="363" w:hanging="357"/>
      </w:pPr>
      <w:r>
        <w:t>folgende Verwaltungsräte sind anwesend:</w:t>
      </w:r>
      <w:r w:rsidR="001D7435">
        <w:br/>
      </w:r>
      <w:r w:rsidR="001D7435">
        <w:fldChar w:fldCharType="begin">
          <w:ffData>
            <w:name w:val="Text4"/>
            <w:enabled/>
            <w:calcOnExit w:val="0"/>
            <w:textInput/>
          </w:ffData>
        </w:fldChar>
      </w:r>
      <w:r w:rsidR="001D7435">
        <w:instrText xml:space="preserve"> FORMTEXT </w:instrText>
      </w:r>
      <w:r w:rsidR="001D7435">
        <w:fldChar w:fldCharType="separate"/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fldChar w:fldCharType="end"/>
      </w:r>
      <w:r>
        <w:t>,</w:t>
      </w:r>
      <w:r w:rsidR="001D7435">
        <w:br/>
      </w:r>
      <w:r w:rsidR="001D7435">
        <w:fldChar w:fldCharType="begin">
          <w:ffData>
            <w:name w:val="Text4"/>
            <w:enabled/>
            <w:calcOnExit w:val="0"/>
            <w:textInput/>
          </w:ffData>
        </w:fldChar>
      </w:r>
      <w:r w:rsidR="001D7435">
        <w:instrText xml:space="preserve"> FORMTEXT </w:instrText>
      </w:r>
      <w:r w:rsidR="001D7435">
        <w:fldChar w:fldCharType="separate"/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fldChar w:fldCharType="end"/>
      </w:r>
      <w:r>
        <w:t>,</w:t>
      </w:r>
      <w:r w:rsidR="001D7435">
        <w:br/>
      </w:r>
      <w:r w:rsidR="001D7435">
        <w:fldChar w:fldCharType="begin">
          <w:ffData>
            <w:name w:val="Text4"/>
            <w:enabled/>
            <w:calcOnExit w:val="0"/>
            <w:textInput/>
          </w:ffData>
        </w:fldChar>
      </w:r>
      <w:r w:rsidR="001D7435">
        <w:instrText xml:space="preserve"> FORMTEXT </w:instrText>
      </w:r>
      <w:r w:rsidR="001D7435">
        <w:fldChar w:fldCharType="separate"/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fldChar w:fldCharType="end"/>
      </w:r>
      <w:r>
        <w:t>;</w:t>
      </w:r>
    </w:p>
    <w:p w:rsidR="0007360E" w:rsidRDefault="0007360E" w:rsidP="001D7435">
      <w:pPr>
        <w:widowControl w:val="0"/>
        <w:numPr>
          <w:ilvl w:val="0"/>
          <w:numId w:val="16"/>
        </w:numPr>
        <w:autoSpaceDE w:val="0"/>
        <w:autoSpaceDN w:val="0"/>
        <w:spacing w:after="240"/>
        <w:ind w:left="357" w:hanging="357"/>
        <w:jc w:val="both"/>
      </w:pPr>
      <w:r>
        <w:t>damit ist der Verwaltungsrat vollzählig anwesend und für die vorgesehenen Traktanden beschlussfähig.</w:t>
      </w:r>
    </w:p>
    <w:p w:rsidR="0007360E" w:rsidRDefault="0007360E" w:rsidP="001D7435">
      <w:pPr>
        <w:jc w:val="both"/>
      </w:pPr>
      <w:r>
        <w:t>Gegen diese Feststellungen</w:t>
      </w:r>
      <w:r w:rsidR="001D7435">
        <w:t xml:space="preserve"> wird kein Widerspruch erhoben.</w:t>
      </w:r>
    </w:p>
    <w:p w:rsidR="0007360E" w:rsidRDefault="0007360E" w:rsidP="001D7435">
      <w:pPr>
        <w:spacing w:before="480"/>
        <w:jc w:val="both"/>
      </w:pPr>
      <w:r>
        <w:t xml:space="preserve">Er teilt mit, dass der Verwaltungsrat den Beschluss der Generalversammlung vom </w:t>
      </w:r>
      <w:r w:rsidR="001D7435">
        <w:fldChar w:fldCharType="begin">
          <w:ffData>
            <w:name w:val="Text4"/>
            <w:enabled/>
            <w:calcOnExit w:val="0"/>
            <w:textInput/>
          </w:ffData>
        </w:fldChar>
      </w:r>
      <w:r w:rsidR="001D7435">
        <w:instrText xml:space="preserve"> FORMTEXT </w:instrText>
      </w:r>
      <w:r w:rsidR="001D7435">
        <w:fldChar w:fldCharType="separate"/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fldChar w:fldCharType="end"/>
      </w:r>
      <w:r>
        <w:t xml:space="preserve"> über eine ordentliche Erhöhung des Aktienkapitals um CHF</w:t>
      </w:r>
      <w:r w:rsidR="00A06652">
        <w:t> </w:t>
      </w:r>
      <w:r w:rsidR="001D7435">
        <w:fldChar w:fldCharType="begin">
          <w:ffData>
            <w:name w:val="Text4"/>
            <w:enabled/>
            <w:calcOnExit w:val="0"/>
            <w:textInput/>
          </w:ffData>
        </w:fldChar>
      </w:r>
      <w:r w:rsidR="001D7435">
        <w:instrText xml:space="preserve"> FORMTEXT </w:instrText>
      </w:r>
      <w:r w:rsidR="001D7435">
        <w:fldChar w:fldCharType="separate"/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fldChar w:fldCharType="end"/>
      </w:r>
      <w:r w:rsidR="001D7435">
        <w:t xml:space="preserve"> auf CHF </w:t>
      </w:r>
      <w:r w:rsidR="001D7435">
        <w:fldChar w:fldCharType="begin">
          <w:ffData>
            <w:name w:val="Text4"/>
            <w:enabled/>
            <w:calcOnExit w:val="0"/>
            <w:textInput/>
          </w:ffData>
        </w:fldChar>
      </w:r>
      <w:r w:rsidR="001D7435">
        <w:instrText xml:space="preserve"> FORMTEXT </w:instrText>
      </w:r>
      <w:r w:rsidR="001D7435">
        <w:fldChar w:fldCharType="separate"/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rPr>
          <w:noProof/>
        </w:rPr>
        <w:t> </w:t>
      </w:r>
      <w:r w:rsidR="001D7435">
        <w:fldChar w:fldCharType="end"/>
      </w:r>
      <w:r>
        <w:t xml:space="preserve"> im Zusammenhang mit einer Fusion ausgeführt hat.</w:t>
      </w:r>
    </w:p>
    <w:p w:rsidR="0007360E" w:rsidRDefault="0007360E" w:rsidP="001D7435">
      <w:pPr>
        <w:spacing w:before="1200" w:after="480"/>
        <w:jc w:val="center"/>
      </w:pPr>
      <w:r>
        <w:t>II.</w:t>
      </w:r>
    </w:p>
    <w:p w:rsidR="0007360E" w:rsidRDefault="0007360E" w:rsidP="00395113">
      <w:pPr>
        <w:spacing w:after="240"/>
        <w:jc w:val="both"/>
      </w:pPr>
      <w:r>
        <w:t>Der Vorsitzende legt folgende Belege vor:</w:t>
      </w:r>
    </w:p>
    <w:p w:rsidR="0007360E" w:rsidRDefault="0007360E" w:rsidP="0007360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öffentliche Urkunde über die Beschlüsse der Generalversammlung vom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>
        <w:t xml:space="preserve"> über die Zustimmung zum Fusionsvertrag mit der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>
        <w:t xml:space="preserve">, verbunden mit einer ordentlichen Erhöhung des Aktienkapitals um CHF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 w:rsidR="00A34BD6">
        <w:t xml:space="preserve"> auf CHF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 w:rsidR="00A34BD6">
        <w:t>;</w:t>
      </w:r>
    </w:p>
    <w:p w:rsidR="0007360E" w:rsidRDefault="0007360E" w:rsidP="0007360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>Fusionsvertrag gemäss Art. 12 und 13 FusG vom</w:t>
      </w:r>
      <w:r w:rsidR="00F01224">
        <w:t xml:space="preserve">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 w:rsidR="00F01224">
        <w:t xml:space="preserve"> mit der </w:t>
      </w:r>
      <w:r w:rsidR="00F01224">
        <w:fldChar w:fldCharType="begin">
          <w:ffData>
            <w:name w:val="Text2"/>
            <w:enabled/>
            <w:calcOnExit w:val="0"/>
            <w:textInput/>
          </w:ffData>
        </w:fldChar>
      </w:r>
      <w:r w:rsidR="00F01224">
        <w:instrText xml:space="preserve"> FORMTEXT </w:instrText>
      </w:r>
      <w:r w:rsidR="00F01224">
        <w:fldChar w:fldCharType="separate"/>
      </w:r>
      <w:r w:rsidR="00F01224">
        <w:rPr>
          <w:noProof/>
        </w:rPr>
        <w:t> </w:t>
      </w:r>
      <w:r w:rsidR="00F01224">
        <w:rPr>
          <w:noProof/>
        </w:rPr>
        <w:t> </w:t>
      </w:r>
      <w:r w:rsidR="00F01224">
        <w:rPr>
          <w:noProof/>
        </w:rPr>
        <w:t> </w:t>
      </w:r>
      <w:r w:rsidR="00F01224">
        <w:rPr>
          <w:noProof/>
        </w:rPr>
        <w:t> </w:t>
      </w:r>
      <w:r w:rsidR="00F01224">
        <w:rPr>
          <w:noProof/>
        </w:rPr>
        <w:t> </w:t>
      </w:r>
      <w:r w:rsidR="00F01224">
        <w:fldChar w:fldCharType="end"/>
      </w:r>
      <w:r>
        <w:t>, sowie die Fusionsbilanz(en) der</w:t>
      </w:r>
      <w:r w:rsidR="00A34BD6">
        <w:t xml:space="preserve"> übertragenden Gesellschaft(en);</w:t>
      </w:r>
    </w:p>
    <w:p w:rsidR="0007360E" w:rsidRDefault="0007360E" w:rsidP="0007360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>Fusionsbericht gemäss Art. 14 FusG vom</w:t>
      </w:r>
      <w:r w:rsidR="00A34BD6">
        <w:t xml:space="preserve">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 w:rsidR="00DF743D">
        <w:t xml:space="preserve">, der vom Verwaltungsrat </w:t>
      </w:r>
      <w:r>
        <w:t>der beteiligten Gesellschafte</w:t>
      </w:r>
      <w:r w:rsidR="00A34BD6">
        <w:t>n gemeinsam verfasst worden ist;</w:t>
      </w:r>
    </w:p>
    <w:p w:rsidR="0007360E" w:rsidRDefault="0007360E" w:rsidP="0007360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Prüfungsbericht gemäss Art. 15 FusG vom </w:t>
      </w:r>
      <w:r w:rsidR="00A34BD6">
        <w:fldChar w:fldCharType="begin">
          <w:ffData>
            <w:name w:val="Text4"/>
            <w:enabled/>
            <w:calcOnExit w:val="0"/>
            <w:textInput/>
          </w:ffData>
        </w:fldChar>
      </w:r>
      <w:r w:rsidR="00A34BD6">
        <w:instrText xml:space="preserve"> FORMTEXT </w:instrText>
      </w:r>
      <w:r w:rsidR="00A34BD6">
        <w:fldChar w:fldCharType="separate"/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rPr>
          <w:noProof/>
        </w:rPr>
        <w:t> </w:t>
      </w:r>
      <w:r w:rsidR="00A34BD6">
        <w:fldChar w:fldCharType="end"/>
      </w:r>
      <w:r>
        <w:t xml:space="preserve"> des von </w:t>
      </w:r>
      <w:r w:rsidR="00E92ADB">
        <w:t>den beteiligten</w:t>
      </w:r>
      <w:r>
        <w:t xml:space="preserve"> Gesellschaften gemeinsam bestimmten</w:t>
      </w:r>
      <w:bookmarkStart w:id="1" w:name="Text12"/>
      <w:r w:rsidR="00A34BD6">
        <w:t xml:space="preserve"> zugelassenen Revisionsexperten</w:t>
      </w:r>
      <w:r w:rsidR="007B5DD7">
        <w:t xml:space="preserve"> </w:t>
      </w:r>
      <w:r w:rsidR="007B5DD7" w:rsidRPr="00616A13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5DD7" w:rsidRPr="00616A13">
        <w:rPr>
          <w:rFonts w:cs="Arial"/>
        </w:rPr>
        <w:instrText xml:space="preserve"> FORMTEXT </w:instrText>
      </w:r>
      <w:r w:rsidR="007B5DD7" w:rsidRPr="00616A13">
        <w:rPr>
          <w:rFonts w:cs="Arial"/>
        </w:rPr>
      </w:r>
      <w:r w:rsidR="007B5DD7" w:rsidRPr="00616A13">
        <w:rPr>
          <w:rFonts w:cs="Arial"/>
        </w:rPr>
        <w:fldChar w:fldCharType="separate"/>
      </w:r>
      <w:r w:rsidR="007B5DD7" w:rsidRPr="00616A13">
        <w:rPr>
          <w:rFonts w:cs="Arial"/>
          <w:noProof/>
        </w:rPr>
        <w:t> </w:t>
      </w:r>
      <w:r w:rsidR="007B5DD7" w:rsidRPr="00616A13">
        <w:rPr>
          <w:rFonts w:cs="Arial"/>
          <w:noProof/>
        </w:rPr>
        <w:t> </w:t>
      </w:r>
      <w:r w:rsidR="007B5DD7" w:rsidRPr="00616A13">
        <w:rPr>
          <w:rFonts w:cs="Arial"/>
          <w:noProof/>
        </w:rPr>
        <w:t> </w:t>
      </w:r>
      <w:r w:rsidR="007B5DD7" w:rsidRPr="00616A13">
        <w:rPr>
          <w:rFonts w:cs="Arial"/>
          <w:noProof/>
        </w:rPr>
        <w:t> </w:t>
      </w:r>
      <w:r w:rsidR="007B5DD7" w:rsidRPr="00616A13">
        <w:rPr>
          <w:rFonts w:cs="Arial"/>
          <w:noProof/>
        </w:rPr>
        <w:t> </w:t>
      </w:r>
      <w:r w:rsidR="007B5DD7" w:rsidRPr="00616A13">
        <w:rPr>
          <w:rFonts w:cs="Arial"/>
        </w:rPr>
        <w:fldChar w:fldCharType="end"/>
      </w:r>
      <w:r w:rsidR="00A34BD6">
        <w:t>;</w:t>
      </w:r>
    </w:p>
    <w:bookmarkEnd w:id="1"/>
    <w:p w:rsidR="0007360E" w:rsidRPr="00A34BD6" w:rsidRDefault="0007360E" w:rsidP="00395113">
      <w:pPr>
        <w:spacing w:after="240"/>
        <w:jc w:val="both"/>
        <w:rPr>
          <w:i/>
        </w:rPr>
      </w:pPr>
      <w:r w:rsidRPr="00A34BD6">
        <w:rPr>
          <w:i/>
        </w:rPr>
        <w:t>[Variante für k</w:t>
      </w:r>
      <w:r w:rsidR="00A34BD6">
        <w:rPr>
          <w:i/>
        </w:rPr>
        <w:t>leine und mittlere Unternehmen]</w:t>
      </w:r>
    </w:p>
    <w:p w:rsidR="0007360E" w:rsidRDefault="0007360E" w:rsidP="0007360E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Erklärungen des Verwaltungsrates der fusionierenden Gesellschaften, in denen nachgewiesen wird, dass</w:t>
      </w:r>
    </w:p>
    <w:p w:rsidR="0007360E" w:rsidRDefault="0007360E" w:rsidP="0007360E">
      <w:pPr>
        <w:widowControl w:val="0"/>
        <w:numPr>
          <w:ilvl w:val="1"/>
          <w:numId w:val="15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lastRenderedPageBreak/>
        <w:t xml:space="preserve">die Gesellschaften als kleine und mittlere Unternehmen die Anforderungen nach Art. 2 </w:t>
      </w:r>
      <w:r w:rsidR="00CC6C21">
        <w:t xml:space="preserve">lit. </w:t>
      </w:r>
      <w:r>
        <w:t>e FusG erfüllen und</w:t>
      </w:r>
    </w:p>
    <w:p w:rsidR="0007360E" w:rsidRDefault="0007360E" w:rsidP="0007360E">
      <w:pPr>
        <w:widowControl w:val="0"/>
        <w:numPr>
          <w:ilvl w:val="1"/>
          <w:numId w:val="15"/>
        </w:numPr>
        <w:tabs>
          <w:tab w:val="clear" w:pos="1080"/>
          <w:tab w:val="num" w:pos="709"/>
        </w:tabs>
        <w:autoSpaceDE w:val="0"/>
        <w:autoSpaceDN w:val="0"/>
        <w:spacing w:after="240"/>
        <w:ind w:left="709"/>
        <w:jc w:val="both"/>
      </w:pPr>
      <w:r>
        <w:t>sämtliche ihrer Aktionäre gestützt auf Art. 14 Abs. 2 und Art. 15 Abs. 2 FusG auf die Erstellung des Fusionsberichts und a</w:t>
      </w:r>
      <w:r w:rsidR="00C50B4A">
        <w:t>uf die Prüfung verzichtet haben;</w:t>
      </w:r>
    </w:p>
    <w:p w:rsidR="0007360E" w:rsidRDefault="0007360E" w:rsidP="0007360E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 xml:space="preserve">Kapitalerhöhungsbericht des Verwaltungsrates gemäss Art. 652e OR vom </w:t>
      </w:r>
      <w:r w:rsid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>
        <w:instrText xml:space="preserve"> FORMTEXT </w:instrText>
      </w:r>
      <w:r w:rsidR="00C50B4A">
        <w:fldChar w:fldCharType="separate"/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fldChar w:fldCharType="end"/>
      </w:r>
      <w:r w:rsidR="00C50B4A">
        <w:t>;</w:t>
      </w:r>
    </w:p>
    <w:p w:rsidR="0007360E" w:rsidRDefault="0007360E" w:rsidP="0007360E">
      <w:pPr>
        <w:widowControl w:val="0"/>
        <w:numPr>
          <w:ilvl w:val="0"/>
          <w:numId w:val="14"/>
        </w:numPr>
        <w:tabs>
          <w:tab w:val="left" w:pos="673"/>
        </w:tabs>
        <w:autoSpaceDE w:val="0"/>
        <w:autoSpaceDN w:val="0"/>
        <w:spacing w:after="240"/>
        <w:jc w:val="both"/>
      </w:pPr>
      <w:r>
        <w:rPr>
          <w:rFonts w:cs="Arial"/>
        </w:rPr>
        <w:t>Prüfungsbestätigung gemäss Art. 6</w:t>
      </w:r>
      <w:r w:rsidR="00C50B4A">
        <w:rPr>
          <w:rFonts w:cs="Arial"/>
        </w:rPr>
        <w:t xml:space="preserve">52f Abs. 1 </w:t>
      </w:r>
      <w:r>
        <w:rPr>
          <w:rFonts w:cs="Arial"/>
        </w:rPr>
        <w:t xml:space="preserve">OR vom </w:t>
      </w:r>
      <w:r w:rsid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>
        <w:instrText xml:space="preserve"> FORMTEXT </w:instrText>
      </w:r>
      <w:r w:rsidR="00C50B4A">
        <w:fldChar w:fldCharType="separate"/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fldChar w:fldCharType="end"/>
      </w:r>
      <w:r>
        <w:rPr>
          <w:rFonts w:cs="Arial"/>
        </w:rPr>
        <w:t xml:space="preserve"> des zugelassenen Revisors</w:t>
      </w:r>
      <w:r w:rsidR="00975949">
        <w:rPr>
          <w:rFonts w:cs="Arial"/>
        </w:rPr>
        <w:t xml:space="preserve"> </w:t>
      </w:r>
      <w:r w:rsidR="00975949">
        <w:fldChar w:fldCharType="begin">
          <w:ffData>
            <w:name w:val="Text4"/>
            <w:enabled/>
            <w:calcOnExit w:val="0"/>
            <w:textInput/>
          </w:ffData>
        </w:fldChar>
      </w:r>
      <w:r w:rsidR="00975949">
        <w:instrText xml:space="preserve"> FORMTEXT </w:instrText>
      </w:r>
      <w:r w:rsidR="00975949">
        <w:fldChar w:fldCharType="separate"/>
      </w:r>
      <w:r w:rsidR="00975949">
        <w:rPr>
          <w:noProof/>
        </w:rPr>
        <w:t> </w:t>
      </w:r>
      <w:r w:rsidR="00975949">
        <w:rPr>
          <w:noProof/>
        </w:rPr>
        <w:t> </w:t>
      </w:r>
      <w:r w:rsidR="00975949">
        <w:rPr>
          <w:noProof/>
        </w:rPr>
        <w:t> </w:t>
      </w:r>
      <w:r w:rsidR="00975949">
        <w:rPr>
          <w:noProof/>
        </w:rPr>
        <w:t> </w:t>
      </w:r>
      <w:r w:rsidR="00975949">
        <w:rPr>
          <w:noProof/>
        </w:rPr>
        <w:t> </w:t>
      </w:r>
      <w:r w:rsidR="00975949">
        <w:fldChar w:fldCharType="end"/>
      </w:r>
      <w:r w:rsidR="00C50B4A">
        <w:rPr>
          <w:rFonts w:cs="Arial"/>
        </w:rPr>
        <w:t>,</w:t>
      </w:r>
      <w:r>
        <w:rPr>
          <w:rFonts w:cs="Arial"/>
        </w:rPr>
        <w:t xml:space="preserve"> </w:t>
      </w:r>
      <w:r>
        <w:t>wonach der Bericht des Verwaltungsrates vollständig und richtig ist.</w:t>
      </w:r>
    </w:p>
    <w:p w:rsidR="0007360E" w:rsidRDefault="0007360E" w:rsidP="00C50B4A">
      <w:pPr>
        <w:spacing w:before="1200" w:after="480"/>
        <w:jc w:val="center"/>
      </w:pPr>
      <w:r>
        <w:t>III.</w:t>
      </w:r>
    </w:p>
    <w:p w:rsidR="0007360E" w:rsidRDefault="0007360E">
      <w:pPr>
        <w:spacing w:after="240"/>
        <w:jc w:val="both"/>
      </w:pPr>
      <w:r>
        <w:t>Aufgrund dieser Belege stellt der Verwaltungsrat einstimmig fest, dass</w:t>
      </w:r>
    </w:p>
    <w:p w:rsidR="0007360E" w:rsidRDefault="0007360E" w:rsidP="0007360E">
      <w:pPr>
        <w:widowControl w:val="0"/>
        <w:numPr>
          <w:ilvl w:val="0"/>
          <w:numId w:val="19"/>
        </w:numPr>
        <w:tabs>
          <w:tab w:val="clear" w:pos="720"/>
          <w:tab w:val="num" w:pos="350"/>
        </w:tabs>
        <w:autoSpaceDE w:val="0"/>
        <w:autoSpaceDN w:val="0"/>
        <w:spacing w:after="240"/>
        <w:ind w:left="336"/>
        <w:jc w:val="both"/>
      </w:pPr>
      <w:r>
        <w:t xml:space="preserve">sämtliche neu ausgegebenen Aktien im Rahmen der Fusion mit der </w:t>
      </w:r>
      <w:r w:rsid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>
        <w:instrText xml:space="preserve"> FORMTEXT </w:instrText>
      </w:r>
      <w:r w:rsidR="00C50B4A">
        <w:fldChar w:fldCharType="separate"/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fldChar w:fldCharType="end"/>
      </w:r>
      <w:r>
        <w:t xml:space="preserve"> durch deren Aktionäre übernommen werden;</w:t>
      </w:r>
    </w:p>
    <w:p w:rsidR="0007360E" w:rsidRDefault="0007360E" w:rsidP="0007360E">
      <w:pPr>
        <w:widowControl w:val="0"/>
        <w:numPr>
          <w:ilvl w:val="0"/>
          <w:numId w:val="19"/>
        </w:numPr>
        <w:tabs>
          <w:tab w:val="clear" w:pos="720"/>
          <w:tab w:val="num" w:pos="350"/>
        </w:tabs>
        <w:autoSpaceDE w:val="0"/>
        <w:autoSpaceDN w:val="0"/>
        <w:spacing w:after="240"/>
        <w:ind w:left="336"/>
        <w:jc w:val="both"/>
      </w:pPr>
      <w:r>
        <w:t xml:space="preserve">die Einlagen laut Fusionsvertrag vom </w:t>
      </w:r>
      <w:r w:rsid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>
        <w:instrText xml:space="preserve"> FORMTEXT </w:instrText>
      </w:r>
      <w:r w:rsidR="00C50B4A">
        <w:fldChar w:fldCharType="separate"/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fldChar w:fldCharType="end"/>
      </w:r>
      <w:r>
        <w:t xml:space="preserve"> dem gesamten Ausgabebetrag entsprechen;</w:t>
      </w:r>
    </w:p>
    <w:p w:rsidR="00C50B4A" w:rsidRDefault="0007360E" w:rsidP="00C50B4A">
      <w:pPr>
        <w:widowControl w:val="0"/>
        <w:numPr>
          <w:ilvl w:val="0"/>
          <w:numId w:val="19"/>
        </w:numPr>
        <w:tabs>
          <w:tab w:val="clear" w:pos="720"/>
          <w:tab w:val="num" w:pos="350"/>
        </w:tabs>
        <w:autoSpaceDE w:val="0"/>
        <w:autoSpaceDN w:val="0"/>
        <w:spacing w:after="240"/>
        <w:ind w:left="336"/>
        <w:jc w:val="both"/>
      </w:pPr>
      <w:r>
        <w:t xml:space="preserve">die Gesellschaft nach der Eintragung der Kapitalerhöhung im Handelsregister sofort als Eigentümerin über die im Fusionsvertrag vom </w:t>
      </w:r>
      <w:r w:rsid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>
        <w:instrText xml:space="preserve"> FORMTEXT </w:instrText>
      </w:r>
      <w:r w:rsidR="00C50B4A">
        <w:fldChar w:fldCharType="separate"/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rPr>
          <w:noProof/>
        </w:rPr>
        <w:t> </w:t>
      </w:r>
      <w:r w:rsidR="00C50B4A">
        <w:fldChar w:fldCharType="end"/>
      </w:r>
      <w:r>
        <w:t xml:space="preserve"> erwähnten Vermögenswerte verfügen kann und damit</w:t>
      </w:r>
      <w:r w:rsidR="00C50B4A">
        <w:t xml:space="preserve"> </w:t>
      </w:r>
      <w:r w:rsidR="00C50B4A" w:rsidRPr="00C50B4A">
        <w:rPr>
          <w:rFonts w:cs="Arial"/>
          <w:szCs w:val="22"/>
        </w:rPr>
        <w:t>die Anforderungen des Gesetzes, der Statuten und des Generalversammlungsbeschlusses an die Leistung der Einlagen im Zeitpunkt der Feststellungen erfüllt sind;</w:t>
      </w:r>
    </w:p>
    <w:p w:rsidR="004964D6" w:rsidRDefault="004964D6" w:rsidP="0007360E">
      <w:pPr>
        <w:widowControl w:val="0"/>
        <w:numPr>
          <w:ilvl w:val="0"/>
          <w:numId w:val="19"/>
        </w:numPr>
        <w:tabs>
          <w:tab w:val="clear" w:pos="720"/>
          <w:tab w:val="num" w:pos="350"/>
        </w:tabs>
        <w:autoSpaceDE w:val="0"/>
        <w:autoSpaceDN w:val="0"/>
        <w:spacing w:after="240"/>
        <w:ind w:left="336"/>
        <w:jc w:val="both"/>
      </w:pPr>
      <w:r w:rsidRPr="0010487A">
        <w:t>keine anderen Sacheinlagen, Verrechnungstatbestände oder besonderen Vorteile bestehen</w:t>
      </w:r>
      <w:r w:rsidR="00C50B4A">
        <w:t>,</w:t>
      </w:r>
      <w:r w:rsidRPr="0010487A">
        <w:t xml:space="preserve"> a</w:t>
      </w:r>
      <w:r w:rsidR="00C50B4A">
        <w:t>ls die in den Belegen genannten;</w:t>
      </w:r>
    </w:p>
    <w:p w:rsidR="00C50B4A" w:rsidRDefault="00C50B4A" w:rsidP="00C50B4A">
      <w:pPr>
        <w:widowControl w:val="0"/>
        <w:numPr>
          <w:ilvl w:val="0"/>
          <w:numId w:val="19"/>
        </w:numPr>
        <w:tabs>
          <w:tab w:val="clear" w:pos="720"/>
          <w:tab w:val="num" w:pos="350"/>
        </w:tabs>
        <w:autoSpaceDE w:val="0"/>
        <w:autoSpaceDN w:val="0"/>
        <w:ind w:left="334" w:hanging="357"/>
        <w:jc w:val="both"/>
      </w:pPr>
      <w:r w:rsidRPr="007639B9">
        <w:rPr>
          <w:rFonts w:cs="Arial"/>
          <w:szCs w:val="22"/>
        </w:rPr>
        <w:t>ihm die Belege, die der Kapitalerhöhung zugrunde liegen, vorgelegen haben.</w:t>
      </w:r>
    </w:p>
    <w:p w:rsidR="0007360E" w:rsidRDefault="0007360E" w:rsidP="007649D0">
      <w:pPr>
        <w:spacing w:before="1200" w:after="480"/>
        <w:jc w:val="center"/>
      </w:pPr>
      <w:r>
        <w:t>IV.</w:t>
      </w:r>
    </w:p>
    <w:p w:rsidR="0007360E" w:rsidRDefault="0007360E">
      <w:pPr>
        <w:spacing w:after="240"/>
        <w:jc w:val="both"/>
      </w:pPr>
      <w:r>
        <w:t>Der Verwaltungsrat beschliesst einstimmig, die Statuten der Gesellschaft wie folgt zu ändern:</w:t>
      </w:r>
    </w:p>
    <w:p w:rsidR="0007360E" w:rsidRPr="00C50B4A" w:rsidRDefault="0007360E" w:rsidP="00C50B4A">
      <w:pPr>
        <w:spacing w:after="240"/>
        <w:jc w:val="both"/>
      </w:pPr>
      <w:r w:rsidRPr="00C50B4A">
        <w:t xml:space="preserve">Art. </w:t>
      </w:r>
      <w:bookmarkStart w:id="2" w:name="Text21"/>
      <w:r w:rsidR="00C50B4A" w:rsidRP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 w:rsidRPr="00C50B4A">
        <w:instrText xml:space="preserve"> FORMTEXT </w:instrText>
      </w:r>
      <w:r w:rsidR="00C50B4A" w:rsidRPr="00C50B4A">
        <w:fldChar w:fldCharType="separate"/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fldChar w:fldCharType="end"/>
      </w:r>
      <w:r w:rsidRPr="00C50B4A">
        <w:t xml:space="preserve"> </w:t>
      </w:r>
      <w:bookmarkEnd w:id="2"/>
      <w:r w:rsidRPr="00C50B4A">
        <w:t>„</w:t>
      </w:r>
      <w:r w:rsidR="00C50B4A" w:rsidRPr="00C50B4A">
        <w:fldChar w:fldCharType="begin">
          <w:ffData>
            <w:name w:val="Text4"/>
            <w:enabled/>
            <w:calcOnExit w:val="0"/>
            <w:textInput/>
          </w:ffData>
        </w:fldChar>
      </w:r>
      <w:r w:rsidR="00C50B4A" w:rsidRPr="00C50B4A">
        <w:instrText xml:space="preserve"> FORMTEXT </w:instrText>
      </w:r>
      <w:r w:rsidR="00C50B4A" w:rsidRPr="00C50B4A">
        <w:fldChar w:fldCharType="separate"/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rPr>
          <w:noProof/>
        </w:rPr>
        <w:t> </w:t>
      </w:r>
      <w:r w:rsidR="00C50B4A" w:rsidRPr="00C50B4A">
        <w:fldChar w:fldCharType="end"/>
      </w:r>
      <w:r w:rsidRPr="00C50B4A">
        <w:t>“</w:t>
      </w:r>
    </w:p>
    <w:p w:rsidR="00C50B4A" w:rsidRDefault="0007360E" w:rsidP="00A06652">
      <w:pPr>
        <w:spacing w:after="240"/>
        <w:jc w:val="both"/>
      </w:pPr>
      <w:r>
        <w:t xml:space="preserve">Im Übrigen gelten die bisherigen </w:t>
      </w:r>
      <w:r>
        <w:rPr>
          <w:rFonts w:cs="Arial"/>
          <w:szCs w:val="22"/>
        </w:rPr>
        <w:t xml:space="preserve">Statutenbestimmungen </w:t>
      </w:r>
      <w:r>
        <w:t>unverändert weiter.</w:t>
      </w:r>
      <w:r w:rsidR="00C50B4A">
        <w:br w:type="page"/>
      </w:r>
    </w:p>
    <w:p w:rsidR="0007360E" w:rsidRDefault="0007360E" w:rsidP="007649D0">
      <w:pPr>
        <w:spacing w:before="1200" w:after="480"/>
        <w:jc w:val="center"/>
      </w:pPr>
      <w:r>
        <w:lastRenderedPageBreak/>
        <w:t>V.</w:t>
      </w:r>
    </w:p>
    <w:p w:rsidR="0007360E" w:rsidRDefault="0007360E">
      <w:pPr>
        <w:spacing w:after="240"/>
        <w:jc w:val="both"/>
      </w:pPr>
      <w: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:rsidR="0007360E" w:rsidRDefault="0007360E" w:rsidP="007649D0">
      <w:pPr>
        <w:spacing w:before="1200" w:after="480"/>
        <w:jc w:val="center"/>
      </w:pPr>
      <w:r>
        <w:t>VI.</w:t>
      </w:r>
    </w:p>
    <w:p w:rsidR="0007360E" w:rsidRDefault="0007360E">
      <w:pPr>
        <w:spacing w:after="240"/>
        <w:jc w:val="both"/>
      </w:pPr>
      <w:r>
        <w:t xml:space="preserve">Die unterzeichnende Urkundsperson bestätigt im Sinne von </w:t>
      </w:r>
      <w:r w:rsidR="00C50B4A">
        <w:t>Art. 652g Abs. 2 OR, dass</w:t>
      </w:r>
      <w:r>
        <w:t xml:space="preserve"> ihr die in dieser Urkunde einzeln gen</w:t>
      </w:r>
      <w:r w:rsidR="00C50B4A">
        <w:t>annten Belege vorgelegen haben.</w:t>
      </w:r>
    </w:p>
    <w:p w:rsidR="0007360E" w:rsidRDefault="0007360E" w:rsidP="007649D0">
      <w:pPr>
        <w:spacing w:before="1200" w:after="480"/>
        <w:jc w:val="center"/>
      </w:pPr>
      <w:r>
        <w:t>VII.</w:t>
      </w:r>
    </w:p>
    <w:p w:rsidR="0007360E" w:rsidRDefault="00227433" w:rsidP="00BD7D74">
      <w:pPr>
        <w:jc w:val="both"/>
      </w:pPr>
      <w:r>
        <w:t>Die Gesellschaft</w:t>
      </w:r>
      <w:r w:rsidR="0007360E">
        <w:t xml:space="preserve"> hat </w:t>
      </w:r>
      <w:r>
        <w:t xml:space="preserve">die </w:t>
      </w:r>
      <w:r w:rsidR="0007360E">
        <w:t xml:space="preserve">vorstehende Statutenänderung und </w:t>
      </w:r>
      <w:r>
        <w:t xml:space="preserve">die </w:t>
      </w:r>
      <w:r w:rsidR="0007360E">
        <w:t>Feststellungen</w:t>
      </w:r>
      <w:r>
        <w:t xml:space="preserve"> des Verwaltungsrates</w:t>
      </w:r>
      <w:r w:rsidR="0007360E">
        <w:t xml:space="preserve"> gleichzeitig </w:t>
      </w:r>
      <w:r>
        <w:t>mit dem Fusionsbeschluss</w:t>
      </w:r>
      <w:r w:rsidR="0007360E">
        <w:t xml:space="preserve"> dem zuständigen Handelsregisteramt zur Eintragung anzumelden (Art. 21 Abs. 2 FusG und </w:t>
      </w:r>
      <w:r w:rsidR="00CC6C21">
        <w:t>Art. 647 OR</w:t>
      </w:r>
      <w:r w:rsidR="0007360E">
        <w:t>).</w:t>
      </w:r>
    </w:p>
    <w:p w:rsidR="00BD7D74" w:rsidRPr="001275A3" w:rsidRDefault="00BD7D74" w:rsidP="007649D0">
      <w:pPr>
        <w:tabs>
          <w:tab w:val="left" w:pos="426"/>
        </w:tabs>
        <w:spacing w:before="1200" w:after="480"/>
        <w:jc w:val="both"/>
        <w:rPr>
          <w:rFonts w:cs="Arial"/>
          <w:i/>
        </w:rPr>
      </w:pPr>
      <w:r w:rsidRPr="001275A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</w:rPr>
        <w:fldChar w:fldCharType="end"/>
      </w:r>
      <w:r w:rsidRPr="001275A3">
        <w:rPr>
          <w:rFonts w:cs="Arial"/>
        </w:rPr>
        <w:t xml:space="preserve">, </w:t>
      </w:r>
      <w:r w:rsidRPr="001275A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cs="Arial"/>
        </w:rPr>
        <w:fldChar w:fldCharType="end"/>
      </w:r>
    </w:p>
    <w:p w:rsidR="00BD7D74" w:rsidRPr="001275A3" w:rsidRDefault="00BD7D74" w:rsidP="00BD7D74">
      <w:pPr>
        <w:tabs>
          <w:tab w:val="left" w:pos="426"/>
          <w:tab w:val="left" w:pos="4320"/>
        </w:tabs>
        <w:jc w:val="both"/>
        <w:rPr>
          <w:rFonts w:cs="Arial"/>
        </w:rPr>
      </w:pPr>
      <w:r w:rsidRPr="001275A3">
        <w:rPr>
          <w:rFonts w:cs="Arial"/>
        </w:rPr>
        <w:t>Der Vorsitzende:</w:t>
      </w:r>
      <w:r w:rsidRPr="001275A3">
        <w:rPr>
          <w:rFonts w:cs="Arial"/>
        </w:rPr>
        <w:tab/>
        <w:t>Der Protokollführer:</w:t>
      </w:r>
    </w:p>
    <w:p w:rsidR="00BD7D74" w:rsidRPr="001275A3" w:rsidRDefault="00BD7D74" w:rsidP="00C50B4A">
      <w:pPr>
        <w:tabs>
          <w:tab w:val="left" w:pos="426"/>
          <w:tab w:val="left" w:pos="4320"/>
        </w:tabs>
        <w:spacing w:before="720"/>
        <w:jc w:val="both"/>
        <w:rPr>
          <w:rFonts w:cs="Arial"/>
        </w:rPr>
      </w:pPr>
      <w:r w:rsidRPr="001275A3">
        <w:rPr>
          <w:rFonts w:cs="Arial"/>
        </w:rPr>
        <w:t>..........................................</w:t>
      </w:r>
      <w:r w:rsidRPr="001275A3">
        <w:rPr>
          <w:rFonts w:cs="Arial"/>
        </w:rPr>
        <w:tab/>
        <w:t>..........................................</w:t>
      </w:r>
    </w:p>
    <w:p w:rsidR="00BD7D74" w:rsidRPr="001275A3" w:rsidRDefault="00BD7D74" w:rsidP="00BD7D74">
      <w:pPr>
        <w:tabs>
          <w:tab w:val="left" w:pos="426"/>
          <w:tab w:val="left" w:pos="4320"/>
        </w:tabs>
        <w:jc w:val="both"/>
        <w:rPr>
          <w:rFonts w:cs="Arial"/>
          <w:i/>
        </w:rPr>
      </w:pPr>
      <w:r w:rsidRPr="001275A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cs="Arial"/>
        </w:rPr>
        <w:fldChar w:fldCharType="end"/>
      </w:r>
      <w:r w:rsidRPr="001275A3">
        <w:rPr>
          <w:rFonts w:cs="Arial"/>
        </w:rPr>
        <w:tab/>
      </w:r>
      <w:r w:rsidRPr="001275A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cs="Arial"/>
        </w:rPr>
        <w:fldChar w:fldCharType="end"/>
      </w:r>
    </w:p>
    <w:sectPr w:rsidR="00BD7D74" w:rsidRPr="001275A3" w:rsidSect="00975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87" w:rsidRDefault="00A62587">
      <w:r>
        <w:separator/>
      </w:r>
    </w:p>
  </w:endnote>
  <w:endnote w:type="continuationSeparator" w:id="0">
    <w:p w:rsidR="00A62587" w:rsidRDefault="00A6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00" w:rsidRDefault="00123A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7649D0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4716F7">
      <w:rPr>
        <w:noProof/>
        <w:sz w:val="16"/>
        <w:szCs w:val="16"/>
      </w:rPr>
      <w:t>22.3_Fusion_VR-Beschluss Feststellungen Kapitalerhöhung, Statutenänderung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F21280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F21280" w:rsidRPr="00354DE5">
      <w:rPr>
        <w:rStyle w:val="Seitenzahl"/>
        <w:szCs w:val="16"/>
      </w:rPr>
      <w:fldChar w:fldCharType="separate"/>
    </w:r>
    <w:r w:rsidR="00123A00">
      <w:rPr>
        <w:rStyle w:val="Seitenzahl"/>
        <w:noProof/>
        <w:szCs w:val="16"/>
      </w:rPr>
      <w:t>1</w:t>
    </w:r>
    <w:r w:rsidR="00F21280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00" w:rsidRDefault="00123A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87" w:rsidRDefault="00A62587">
      <w:r>
        <w:separator/>
      </w:r>
    </w:p>
  </w:footnote>
  <w:footnote w:type="continuationSeparator" w:id="0">
    <w:p w:rsidR="00A62587" w:rsidRDefault="00A6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00" w:rsidRDefault="00123A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00" w:rsidRDefault="00123A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00" w:rsidRDefault="00123A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24DDE"/>
    <w:multiLevelType w:val="hybridMultilevel"/>
    <w:tmpl w:val="ED3EE1DA"/>
    <w:lvl w:ilvl="0" w:tplc="4288E5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14DFB"/>
    <w:multiLevelType w:val="hybridMultilevel"/>
    <w:tmpl w:val="DC08C22A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BE59D3"/>
    <w:multiLevelType w:val="hybridMultilevel"/>
    <w:tmpl w:val="FFEC996E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F9235B"/>
    <w:multiLevelType w:val="hybridMultilevel"/>
    <w:tmpl w:val="07F6CFC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612C"/>
    <w:multiLevelType w:val="hybridMultilevel"/>
    <w:tmpl w:val="F36AF2B8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747E43"/>
    <w:multiLevelType w:val="hybridMultilevel"/>
    <w:tmpl w:val="70862848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EFE0F8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288E5E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 w:hint="default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8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12"/>
  </w:num>
  <w:num w:numId="17">
    <w:abstractNumId w:val="13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00"/>
    <w:rsid w:val="00001D36"/>
    <w:rsid w:val="00020BD9"/>
    <w:rsid w:val="0007360E"/>
    <w:rsid w:val="000775FC"/>
    <w:rsid w:val="0012209D"/>
    <w:rsid w:val="00123A00"/>
    <w:rsid w:val="00170ED9"/>
    <w:rsid w:val="00171F26"/>
    <w:rsid w:val="00177CB1"/>
    <w:rsid w:val="001D7435"/>
    <w:rsid w:val="00227433"/>
    <w:rsid w:val="00230C60"/>
    <w:rsid w:val="00256635"/>
    <w:rsid w:val="0029050F"/>
    <w:rsid w:val="002D1D88"/>
    <w:rsid w:val="00303620"/>
    <w:rsid w:val="00344308"/>
    <w:rsid w:val="00354DE5"/>
    <w:rsid w:val="00364800"/>
    <w:rsid w:val="004716F7"/>
    <w:rsid w:val="004964D6"/>
    <w:rsid w:val="004B409E"/>
    <w:rsid w:val="004C56B1"/>
    <w:rsid w:val="0056296B"/>
    <w:rsid w:val="00584B6A"/>
    <w:rsid w:val="005B55D2"/>
    <w:rsid w:val="00605C75"/>
    <w:rsid w:val="00687D79"/>
    <w:rsid w:val="006B458B"/>
    <w:rsid w:val="006E61D9"/>
    <w:rsid w:val="00702AC7"/>
    <w:rsid w:val="007649D0"/>
    <w:rsid w:val="00772554"/>
    <w:rsid w:val="007B5DD7"/>
    <w:rsid w:val="007E2922"/>
    <w:rsid w:val="007E325D"/>
    <w:rsid w:val="008360CC"/>
    <w:rsid w:val="00847FCA"/>
    <w:rsid w:val="00872878"/>
    <w:rsid w:val="00975949"/>
    <w:rsid w:val="00992C67"/>
    <w:rsid w:val="009E62A9"/>
    <w:rsid w:val="00A06652"/>
    <w:rsid w:val="00A07DA8"/>
    <w:rsid w:val="00A34BD6"/>
    <w:rsid w:val="00A5048A"/>
    <w:rsid w:val="00A60CC6"/>
    <w:rsid w:val="00A62587"/>
    <w:rsid w:val="00AD5F14"/>
    <w:rsid w:val="00AD6BA3"/>
    <w:rsid w:val="00B41AB5"/>
    <w:rsid w:val="00B50594"/>
    <w:rsid w:val="00BA716D"/>
    <w:rsid w:val="00BD7D74"/>
    <w:rsid w:val="00C50B4A"/>
    <w:rsid w:val="00CA40E2"/>
    <w:rsid w:val="00CC6C21"/>
    <w:rsid w:val="00CD6D07"/>
    <w:rsid w:val="00D36C2C"/>
    <w:rsid w:val="00DF743D"/>
    <w:rsid w:val="00E339BB"/>
    <w:rsid w:val="00E73980"/>
    <w:rsid w:val="00E92ADB"/>
    <w:rsid w:val="00F01224"/>
    <w:rsid w:val="00F2005D"/>
    <w:rsid w:val="00F21280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,Abstand Nach: 12 pt"/>
    <w:basedOn w:val="Standard"/>
    <w:rsid w:val="0007360E"/>
    <w:pPr>
      <w:widowControl w:val="0"/>
      <w:autoSpaceDE w:val="0"/>
      <w:autoSpaceDN w:val="0"/>
      <w:spacing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2022-12-19T15:08:00Z</dcterms:created>
  <dcterms:modified xsi:type="dcterms:W3CDTF">2022-12-19T15:08:00Z</dcterms:modified>
</cp:coreProperties>
</file>